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46" w:rsidRPr="0058790B" w:rsidRDefault="00B00E46" w:rsidP="0058790B">
      <w:pPr>
        <w:widowControl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B65CB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“一带一路”国际</w:t>
      </w:r>
      <w:proofErr w:type="gramStart"/>
      <w:r w:rsidRPr="00B65CB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智库合作</w:t>
      </w:r>
      <w:proofErr w:type="gramEnd"/>
      <w:r w:rsidRPr="00B65CBE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联盟2018</w:t>
      </w:r>
      <w:r w:rsidRPr="0058790B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年度课题题目</w:t>
      </w:r>
    </w:p>
    <w:p w:rsidR="00B00E46" w:rsidRPr="007D6A07" w:rsidRDefault="007D6A07" w:rsidP="007D6A07">
      <w:pPr>
        <w:widowControl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特别提醒：</w:t>
      </w:r>
      <w:r w:rsidRPr="007D6A0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本课题要求原题申报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。</w:t>
      </w:r>
    </w:p>
    <w:p w:rsidR="00B00E46" w:rsidRPr="00B65CBE" w:rsidRDefault="00B00E46" w:rsidP="00B00E46">
      <w:pPr>
        <w:widowControl/>
        <w:ind w:firstLineChars="200"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投资风险及应对研究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2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安全风险及应对</w:t>
      </w:r>
      <w:bookmarkStart w:id="0" w:name="_GoBack"/>
      <w:bookmarkEnd w:id="0"/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3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政治风险及应对研究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4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、我国民营企业参与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建设面临的问题及对策研究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5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、国内外关于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的研究现状、不足与完善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6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建设民心相通框架下跨文化传播案例研究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7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建设与东盟对接研究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8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建设与上海合作组织对接研究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9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建设与亚太经合组织对接研究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10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建设与欧亚经济联盟对接研究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11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建设与非盟对接研究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12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建设与欧盟对接研究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13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建设与二十国集团对接研究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14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建设项目评估体系研究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15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国际产能合作面临的主要问题与对策研究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16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境外经济合作区建设：进展、问题与应对研究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17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建设中的宗教因素研究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18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、中东地区局势演变对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建设的影响研究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lastRenderedPageBreak/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19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、通过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一带一路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建设促进新时代中国与世界关系的良性互动研究</w:t>
      </w:r>
    </w:p>
    <w:p w:rsidR="00B00E46" w:rsidRPr="00B65CBE" w:rsidRDefault="00B00E46" w:rsidP="00B00E46">
      <w:pPr>
        <w:widowControl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　　</w:t>
      </w:r>
      <w:r w:rsidRPr="00B65CBE">
        <w:rPr>
          <w:rFonts w:ascii="Times" w:eastAsia="宋体" w:hAnsi="Times" w:cs="Times"/>
          <w:color w:val="000000"/>
          <w:kern w:val="0"/>
          <w:sz w:val="28"/>
          <w:szCs w:val="28"/>
        </w:rPr>
        <w:t>20</w:t>
      </w:r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、以</w:t>
      </w:r>
      <w:proofErr w:type="gramStart"/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澜湄</w:t>
      </w:r>
      <w:proofErr w:type="gramEnd"/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合作机制推动构建</w:t>
      </w:r>
      <w:proofErr w:type="gramStart"/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澜湄</w:t>
      </w:r>
      <w:proofErr w:type="gramEnd"/>
      <w:r w:rsidRPr="00B65CBE">
        <w:rPr>
          <w:rFonts w:ascii="Arial" w:eastAsia="宋体" w:hAnsi="Arial" w:cs="Arial"/>
          <w:color w:val="000000"/>
          <w:kern w:val="0"/>
          <w:sz w:val="28"/>
          <w:szCs w:val="28"/>
        </w:rPr>
        <w:t>国家命运共同体研究</w:t>
      </w:r>
    </w:p>
    <w:p w:rsidR="009C66CD" w:rsidRPr="00B00E46" w:rsidRDefault="007D6A07"/>
    <w:sectPr w:rsidR="009C66CD" w:rsidRPr="00B00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5A"/>
    <w:rsid w:val="003D1455"/>
    <w:rsid w:val="0058790B"/>
    <w:rsid w:val="006D27F3"/>
    <w:rsid w:val="007D6A07"/>
    <w:rsid w:val="0082285A"/>
    <w:rsid w:val="00B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2018-04-12T09:17:00Z</dcterms:created>
  <dcterms:modified xsi:type="dcterms:W3CDTF">2018-04-12T09:29:00Z</dcterms:modified>
</cp:coreProperties>
</file>